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279821-П/2017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Цыбко Константина Валерьевича на нарушение его конституционных прав частями 1 и 3 статьи 7 Федерального закона «О порядке формирования Совета Федерации Федерального Собрания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К.В.Цыбко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в Совет Федерации входят: по два представителя от каждого субъекта Российской Федерации – по одному от законодательного (представительного) и исполнительного органов государственной власти; представители Российской Федерации, назначаемые Президентом Российской Федерации, число которых составляет не более десяти процентов от числа членов Совета Федерации – представителей от законодательных (представительных) и исполнительных органов государственной власти субъектов Российской Федерации; член Совета Федерации – представитель от законодательного (представительного)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 (статья 95, части 1 и 3); порядок формирования Совета Федерации и порядок выборов депутатов Государственной Думы устанавливаются федеральными законами (статья 96, часть 2). 4 Оспариваемые заявителем положения статьи 7 Федерального закона «О порядке формирования Совета Федерации Федерального Собрания Российской Федерации», конкретизируя указанные конституционные положения, определяют момент начала полномочий нового члена Совета Федерации и прекращения полномочий ранее назначенного члена Совета Федерации, за исключением случая досрочного прекращения полномочий члена Совета Федерации, направлены на обеспечение непрерывности представительства органов государственной власти субъектов Российской Федерации в верхней палате федерального парламента и не содержат какой- либо неопределенности, а потому сами по себе не могут рассматриваться как нарушающие конституционные права заявителя в указанном в жалобе аспекте в его конкретном деле. Определение же момента вступления в силу решения органа государственной власти субъекта Российской Федерации, а также разрешение вопроса о внесении конкретной записи в трудовую книжку заявителя не входят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Цыбко Константина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