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324186-П/2018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рядом норм Гражданского кодекса Российской Федерации и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15 ГК Российской Федерации, закрепляющей право граждан и юридических лиц, чье право нарушено, требовать полного возмещения причиненных убытков и определяющей понятие убытков, направлены на полное возмещение убытков по требованию лица, право которого нарушено, а тем самым – на реализацию закрепленного в Конституции Российской Федерации принципа охраны права частной собственности законом (статья 35, часть 1), не могут рассматриваться как нарушающие конституционные права заявителя. Оспариваемые заявителем статьи 1069 и 1070 ГК Российской Федерации закрепляют дополнительные гарантии защиты прав граждан и юридических лиц от незаконных действий (бездействия) органов государственной власти, в том числе органов дознания, предварительного следствия, прокуратуры и суда, направлены на реализацию права на возмещение вреда, причиненного их незаконными действиями (или бездействием), включая компенсацию морального вреда в установленных законом случаях (определения от 20 февраля 2002 года Отсутствие в оспариваемых заявителем статьях 35, 1551 и 157 ГПК Российской Федерации положений, обязывающих суд знакомить лиц, содержащихся под стражей, с материалами гражданского дела, обеспечивать их личное участие в рассмотрении гражданского дела в судебном заседании, не приводит к неправомерному ограничению конституционного права на судебную защиту, поскольку они не исключают возможность принятия судом решения об обязательности участия лица, содержащегося под стражей, в качестве стороны в гражданском судопроизводстве в тех случаях, когда, по мнению суда, это необходимо для защиты прав личности и достижения целей правосудия, и тем самым не лишают его возможности отстаивать свои права и законные интересы. Они также не препятствуют такому лицу довести до суда свою позицию по делу путем допуска к участию в деле его адвокатов и других представителей, а также иными предусмотренными законом способами. В частности, Гражданский процессуальный кодекс Российской Федерации допускает участие в судебном заседании путем использования систем видеоконференц-связи лица, которое по объективным причинам не может присутствовать лично в судебном заседании, в случае, если его участие необходимо для правильного рассмотрения и разрешения гражданского дела и при наличии технической возможности для этого (часть первая статьи 1551). Из приложенных к жалобе материалов следует, что Э.А.Гусейнов принимал участие в предварительном судебном заседании с использованием 5 системы видеоконференц-связи, имел возможность довести до сведения суда свою позицию относительно всех аспектов дела, при этом ходатайство об ознакомлении с материалами дела путем направления ему копий документов он не заявлял. При таких обстоятельствах нельзя утверждать, что статьями 35, 1551 и 157 ГПК Российской Федерации были нарушены конституционные права заявителя, перечисленные в жалобе, в его конкретном деле в указанном им аспекте. Не нарушают конституционные права заявителя и статьи 3271, 328–330 ГПК Российской Федерации, поскольку эти статьи, действующие в системной связи с другими положениями главы 39 данного Кодекса, в том числе с частью первой статьи 330, согласно которой основаниями для отмены или изменения решения суда первой инстанции в апелляционном порядке являются: неправильное определение обстоятельств, имеющих значение для дела (пункт 1), недоказанность установленных судом первой инстанции обстоятельств, имеющих значение для дела (пункт 2), несоответствие выводов суда первой инстанции, изложенных в решении суда, обстоятельствам дела (пункт 3), нарушение или неправильное применение норм материального права или норм процессуального права (пункт 4), – а также с частью третьей его статьи 329, обязывающей суд при оставлении апелляционных жалобы, представления без удовлетворения указывать мотивы, по которым доводы апелляционных жалобы, представления отклоняются, являются процессуальными гарантиями правильного рассмотрения и разрешения судом гражданских дел, направлены на исправление в апелляционном порядке возможной ошибки, допущенной судом нижестоящей инстанции. Оценка же того, имелись ли у суда апелляционной инстанции основания для отмены решения суда первой инстанции, сопряжена с исследованием фактических обстоятельств дела с участием заявителя и к компетенции Конституционного Суда Российской Федерации, как она 6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