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365540-П/2018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Поповой Любови Алексеевны на нарушение ее конституционных прав частью четвертой статьи 1 и частью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Л.А.Поповой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Применение аналогии закона обусловлено необходимостью восполнения пробелов в правовом регулировании тех или иных отношений. Закрепление подобного права в части четвертой статьи 1 ГПК Российской Федерации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поскольку невозможность применения норм права по аналогии при наличии неурегулированных 3 отношений привела бы к невозможности защиты прав граждан и, в конечном итоге, к ограничению их конституционных прав, а потому норма части четвертой статьи 1 ГПК Российской Федерации не может расцениваться как нарушающая конституционные права заявительницы. Действующее законодательство не связывает наступление ответственности за причинение имущественного вреда исключительно с привлечением его причинителя к уголовно-правовой или административно- правовой ответственности. Конституционным Судом Российской Федерации в решениях неоднократно подчеркивалось, что обязанность возместить причиненный вред как мера гражданско-правовой ответственности применяется к причинителю вреда при наличии состава правонарушения, включающего, как правило, наступление вреда, противоправность поведения причинителя вреда, причинную связь между противоправным поведением причинителя вреда и наступлением вреда, а также его вину (постановления от 15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Поповой Любови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