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304494-П/2017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Пономарева Александра Михайловича на нарушение его конституционных прав частью 6 статьи 26.4, частями 2 и 3 статьи 28.2, частью 4 статьи 29.3 и частями 2 и 3 статьи 30.16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А.М.Пономарева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положениями статей 96 и 97 Федерального конституционного закона «О Конституционном Суде Российской Федерации» гражданин вправе обратиться в Оспариваемые положения статьи 28.2 КоАП Российской Федерации, устанавливающие правило о разъяснении лицам – участникам 3 производства по делу прав и обязанностей, предусмотренных данным Кодексом, и предусматривающие внесение записи об этом в протокол, направлены на создание надлежащего процессуального механизма защиты прав лица, в отношении которого ведется производство по делу об административном правонарушении. Следовательно, они не могут расцениваться как нарушающие права заявителя в указанном им аспекте. Что же касается оспариваемых заявителем положений статьи 30.16 КоАП Российской Федерации, то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Пономарева Александра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