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234295-П/2016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Дубинича Александра Николаевича на нарушение его конституционных прав положениями Инструкции по обеспечению режима секретности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А.Н.Дубинича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граждане вправе оспорить конституционность тех законоположений, затрагивающих их конституционные права, которые применялись в их деле судом. Между тем представленные материалы свидетельствуют о том, что в деле заявителя применялись положения 3 Инструкции по обеспечению режима секретности в органах внутренних дел Российской Федерации (утверждена приказом Министерства внутренних дел Российской Федерации от 11 марта 2012 года № 015), а не положения Инструкции по обеспечению режима секретности в Российской Федерации. Таким образом, данная жалоба, как не отвечающая критерию допустимости обращений в Конституционный Суд Российской Федерации, не может быть принята Конституционным Судом Российской Федерации к рассмотрению. Разрешение же вопроса о соблюдении порядка проведения служебного расследования в отношении А.Н.Дубинича, в том числе гарантий, предусмотренных Федеральным законом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Федерации», связано с осуществлением контроля за деятельностью правоприменительных органов и не входит в компетенцию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Дубинича Александра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