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358390-П/2018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Ю. на нарушение ее конституционных прав и конституционных прав ее несовершеннолетнего сына пунктом 3 части 2 статьи 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Ю.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были частично удовлетворены требования прокурора в интересах несовершеннолетнего Б., в качестве законного представителя которого в суде выступала его мать – гражданка Ю., о признании бездействия муниципального образования незаконным и обязании предоставить несовершеннолетнему Б., который, как установили суды, страдает заболеванием, включенным в Перечень тяжелых форм хронических заболеваний, при которых невозможно совместное проживание граждан в 2 одной квартире, утвержденный постановлением Правительства Российской Федерации от 16 июня 2006 года № 378 (утратило силу с 1 января 2018 года в соответствии с постановлением Правительства Российской Федерации от 21 июля 2017 года № 859), благоустроенное жилое помещение по договору социального найма во внеочередном порядке. При этом доводы Ю. о необходимости предоставления жилого помещения ее несовершеннолетнему, нуждающемуся в постоянном уходе сыну, с учетом потребности постоянного проживания с ним его матери, были признаны судами несостоятельными, поскольку она не обладает правом на предоставление ей жилого помещения по договору социального найма вне очереди.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Ю.,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