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«Трансбудинвест» на нарушение конституционных прав и свобод статьей 309 и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«Трансбудинвест»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«Трансбудинвест» оспаривает конституционность статьи 309 АПК Российской Федерации, закрепляющей право арбитражного суда пересмотреть судебный акт по новым или вновь открывшимся обстоятельствам, и пункта 3 части 3 статьи 311 того же Кодекса, относящего к числу оснований для пересмотра судебного акта по новым обстоятельствам признание Конституционным Судом Российской Федерации не соответствующим Конституции Российской Федерации закона, примененного арбитражным судом в конкретном деле, в связи с принятием 2 решения по которому заявитель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«Трансбудинвест»,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