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393735-П/2019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Бородина Евгения Константиновича на нарушение его конституционных прав рядом положений Гражданского процессуального кодекса Российской Федерации, а также пунктом 1 статьи 8 Закона Российской Федерации «О статусе судей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Е.К.Бородина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Как усматривается из жалоб, требования Е.К.Бородина и доводы, приведенные им в обоснование позиции, свидетельствуют о том, что нарушение своих конституционных прав он связывает не с содержанием оспариваемых норм, а с принятыми в отношении него постановлениями судов общей юрисдикции, отдельными процессуальными действиями судей, с которыми он фактически выражает несогласие. Между тем разрешение данных вопросов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3 Кроме того, вопреки требованиям статей 96 и 97 Федерального конституционного закона «О Конституционном Суде Российской Федерации» представленными в Конституционный Суд Российской Федерации материалами не подтверждается применение в конкретном деле с участием Е.К.Бородина пункта 1 статьи 8 Закона Российской Федерации «О статусе судей в Российской Федерации», содержащего текст присяги судьи, а потому его жалобы и в этой части не могут быть признаны допустимыми.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Бородина Евгения Константиновича,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