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436901-П/2019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Предвечного Дмитрия Вячеславовича на нарушение его конституционных прав положением примечания к статье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Д.В.Предвечного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Д.В.Предвечный оспаривает конституционность положения примечания к статье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согласно которому административная ответственность, предусмотренная данной статьей и частью 3 статьи 12.27 этого Кодекса, наступает в случае установленного факта употребления вызывающих алкогольное опьянение веществ, который определяется 2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Как следует из представленных материалов, постановлением мирового судьи от 5 октября 2018 года, оставленным без изменения вышестоящими судами, Д.В.Предвечный был привлечен к административной ответственности за управление транспортным средством в состоянии алкогольного опьянения (часть 1 статьи 12.8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два года. Судами установлено, что 14 июня 2018 года в результате дорожно-транспортного происшествия Д.В.Предвечный получил тяжелую травму, находился в беспомощном состоянии и был доставлен в медицинскую организацию. Заявитель нуждался в экстренном хирургическом вмешательстве, согласие на проведение которого было получено у его родителей ввиду тяжести его состояния, не позволяющего ему осознавать ситуацию в полной мере и руководить своими действиями. При таких обстоятельствах, как указали суды, было проведено исследование крови заявителя и по результатам химико-токсикологического исследования в ней обнаружен этанол в достаточной концентрации для установления состояния опьянения (1,49 процентов). Вместе с тем действующая на момент совершения заявителем административного правонарушения редакция оспариваемого законоположения предусматривала возможность установления факта употребления вызывающих алкогольное опьянение веществ на основании концентрации абсолютного этилового спирта в выдыхаемом воздухе (0,16 миллиграмма на один литр выдыхаемого воздуха). Однако в период вынесения по данному делу постановления об административном правонарушении вступил в силу Федеральный закон от 3 апреля 2018 года № 62-ФЗ «О внесении изменения в статью 12.8 Кодекса Российской Федерации 3 об административных правонарушениях», которым был предусмотрен альтернативный способ установления факта употребления вызывающих алкогольное опьянение веществ посредством определения наличия абсолютного этилового спирта в концентрации 0,3 и более грамма на один литр крови. По мнению заявителя, оспариваемая норма допускает привлечение граждан к административной ответственности за совершения деяния, которое в момент его совершения не признавалось административным правонарушением, что противоречит статье 54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Предвечного Дмитрия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