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512299-П/2020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А. на нарушение его конституционных прав пунктом 2 статьи 52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А., которому отказано в удовлетворении требования об оспаривании его отцовства в отношении несовершеннолетних детей, оспаривает конституционность пункта 2 статьи 52 Семейного кодекса Российской Федерации, закрепляющего, что требование лица, записанного отцом ребенка на основании пункта 2 статьи 51 данного Кодекса, об оспаривании отцовства не может быть удовлетворено, если в момент записи этому лицу было известно, что оно фактически не является отцом ребенка. По мнению заявителя, оспариваемое положение противоречит статьям 2, 18, 38, 45 и 46 Конституции Российской Федерации, поскольку по смыслу, придаваемому ему правоприменительной практикой, оно препятствует оспариванию отцовства по требованию лица, записанного отцом ребенка и 2 фактически его отцом не являющегося, при наличии согласия матери ребенка и самого ребенка, если при установлении отцовства не имел места порок воли. Кроме того, заявитель просит отменить принятое по делу с его участием судебное постановление.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