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438516-П/2019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положениями статей 43, 79, 96 и 97 Федерального конституционного закона «О Конституционном Суде Российской Федерации», статей 123–125, 144, 145, 38913, 38920, 38928 и 4018 Уголовно-процессуального кодекса Российской Федерации, статей 130, 316, 317 и 321 Кодекса административного судопроизводства Российской Федерации, статей 33319 и 33320 Налогового кодекса Российской Федерации, а также частью 1 статьи 12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пункта 2 статьи 43 «Отказ в принятии обращения к рассмотрению», части первой статьи 79 «Юридическая сила решения», а также статей 96 «Право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Определениями от 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