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510602-П/2020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второй статьи 210 Уголовного кодекса Российской Федерации и рядом норм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предписаниям статей 2, 6, 15, 18, 45, 46, 48, 52, 120 и 123 Конституции Российской Федерации часть вторую статьи 210 «Организация преступного сообщества (преступной организации) или участие в нем (ней)» УК Российской Федерации, часть четвертую статьи 7 «Законность при производстве по уголовному делу», пункт 1 части первой статьи 27 «Основания прекращения уголовного преследования», статьи 51 «Обязательное участие защитника», 125 «Судебный порядок рассмотрения жалоб», 38913 «Порядок рассмотрения уголовного дела судом апелляционной 2 инстанции», 38920 «Решения, принимаемые судом апелляционной инстанции», 38922 «Отмена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прокурору», 38928 «Апелляционные приговор, определение и постановление», 38933 «Постановление апелляционного приговора, вынесение апелляционных определения, постановления и обращение их к исполнению» УПК Российской Федерации. Как утверждает заявитель, в соответствии с этими нормами принесение потерпевшим жалобы на постановление о частичном прекращении уголовного преследования не обеспечено обязанностью по принятию этой жалобы к производству районным судом, а принятие апелляционной жалобы не возлагает на суд апелляционной инстанции обязанность обеспечить участие потерпевшего, содержащегося под стражей, назначить ему представителя при наличии на то ходатайства, что лишает потерпевшего судебной защиты и препятствует достижению целей правосудия.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3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