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450982-П/2019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Гусейновой Динары Афраиловны на нарушение ее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Д.А.Гусейновой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Д.А.Гусейнова, которой судом было отказано в иске к ряду ответчиков о взыскании компенсации имущественного и морального вреда, оспаривает конституционность статей 194 «Принятие решения суда», 195 «Законность и обоснованность решения суда», 196 «Вопросы, разрешаемые при принятии решения суда», 197 «Изложение решения суда» и 328 «Полномочия суда апелляционной инстанции» ГПК Российской Федерации, а также статей 198 «Содержание решения суда» и 329 «Постановление суда апелляционной инстанции» в редакции, действовавшей до вступления в силу Федерального закона от 28 ноября 2018 года № 451-ФЗ, 2 а также утративших силу с 1 октября 2019 года в соответствии с названным Федеральным законом статей 381 «Рассмотрение кассационных жалобы, представления» и 383 «Определение судьи об отказе в передаче кассационных жалобы, представления для рассмотрения в судебном заседании суда кассационной инстанции» этого же Кодекса. По мнению заявительницы, оспариваемые законоположения не соответствуют статьям 8 (часть 2), 17 (часть 3), 19 (части 1 и 2), 35 и 55 (часть 3) Конституции Российской Федерации, поскольку они, допуская лишение гражданина имущества без решения суда, не обеспечивают защиту права частной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Д.А.Гусейновой статьи 381 и 383 ГПК Российской Федерации, утратившие силу с 1 октября 2019 года, не могут выступать предметом проверки Конституционного Суда Российской Федерации (пункт 4 статьи 43 Федерального конституционного закона «О Конституционном Суде Российской Федерации»). Положения статей 194–198, 328 и 329 ГПК Российской Федерации, являющиеся процессуальными гарантиями правильного рассмотрения и разрешения судами гражданских дел и направленные на обеспечение принятия законных и обоснованных судебных постановлений, исправление судебных ошибок, не могут расцениваться как нарушающие конституционные права заявительницы, перечисленные в жалобе. Доводы, приведенные заявительницей в обоснование своей позиции по вопросу о неконституционности оспариваемых законоположений, свидетельствуют о том, что нарушение своих конституционных прав она связывает не с их содержанием, а с неправильным, как она полагает, их применением судом в деле с ее участием. Между тем проверка законности и обоснованности постановлений судов общей юрисдикции, а также правильности применения судами норм права при разрешении конкретных 3 дел, к чему фактически сводятся требования заявительницы,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пунктами 2 и 4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Гусейновой Динары Афраиловны,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