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432630-П/2019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«Плазма Инжиниринг» на нарушение конституционных прав и свобод статьей 288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ООО «Плазма Инжиниринг»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«Плазма Инжиниринг» оспаривает конституционность статьи 288 (в редакции, действующей до вступления в силу Федерального закона от 28 ноября 2018 года № 451-ФЗ – до 1 октября 2019 года) АПК Российской Федерации, содержащей перечень оснований для отмены судебного приказа, изменения или отмены решения, постановления арбитражного суда первой и апелляционной инстанций. Как следует из представленных материалов, постановлением арбитражного суда кассационной инстанции было оставлено без изменения 2 постановление арбитражного суда апелляционной инстанции, вынесенное по делу с участием заявителя по правилам, установленным для рассмотрения в арбитражном суде первой инстанции. По мнению заявителя, оспариваемое законоположение, допускающее произвольную отмену решения арбитражного суда первой инстанции арбитражным судом апелляционной инстанции – в отсутствие возможности последующей проверки в судах вышестоящих инстанций правильности применения судом норм, закрепленных в частях 6 и 61 статьи 268 и части 4 статьи 270 АПК Российской Федерации, противоречит статьям 19, 46 и 123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288 АПК Российской Федерации не регулируют вопросы отмены решения арбитражного суда первой инстанции в апелляционном порядке. Действующие в системной связи с другими положениями главы 35 «Производство в суде кассационной инстанции» данного Кодекса, оспариваемые законоположения не препятствуют проверке в кассационном порядке правомерности судебного акта арбитражного суда апелляционной инстанции, вынесенного по правилам, установленным для рассмотрения дела в арбитражном суде первой инстанции, и отмене или изменению этого судебного акта при выявлении предусмотренных в них оснований. Таким образом, положения статьи 288 АПК Российской Федерации не могут расцениваться как нарушающие конституционные права и свободы заявителя, перечисленные в жалобе, в указанном им аспекте. Решение же вопроса о том, были ли при рассмотрении конкретного дела допущены нарушения, являющиеся основаниями для отмены судебного акта арбитражного суда апелляционной инстанции, равно как и проверка правомерности постановления арбитражного суда кассационной инстанции, таких оснований не усмотревшего, с чем заявитель, как следует из 3 содержания жалобы, выражает несогласие, предполагает установление фактических обстоятельств этого дела и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«Плазма Инжиниринг»,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