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425231-П/2019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В.В.Технюка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В.В.Технюк, которому судом отказано в принятии его жалобы о признании незаконными действий (бездействия) и постановления следователя об отказе в возбуждении уголовного дела, поскольку, в частности, обжалуемые действия и процессуальный документ были оценены судом при рассмотрении уголовного дела заявителя, просит признать не соответствующей статье 46 (части 1 и 2) Конституции Российской Федерации статью 125 «Судебный порядок рассмотрения жалоб» УПК Российской Федерации. По мнению заявителя, данная норма 2 нарушает его право обжаловать в судебном порядке действия (бездействие) следователя и постановление об отказе в возбуждении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прямо предусматривает возможность судебного рассмотрения жалоб на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на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первая). Как следует из представленных заявителем судебных решений, обжалуемые им действия (бездействие) и решение следователя были предметом рассмотрения суда при разрешении его уголовного дела. Таким образом, нет оснований утверждать, что оспариваемая статья уголовно- процессуального закона нарушает права В.В.Технюка в его конкретном деле в обозначенном им аспекте. Следовательно, жалоба заявителя,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