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732912-П/2024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союза содействия в газификации и благоустройстве территории «Союз-Газ» на нарушение его конституционных прав частью третьей статьи 27 Федерального закона «О газоснабжении в Российской Федерации» и пунктом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союза содействия в газификации и благоустройстве территории «Союз-Газ»,</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Союз содействия в газификации и благоустройстве территории «Союз- Газ» (далее – Союз-Газ) оспаривает конституционность части третьей статьи 27 Федерального закона от 31 марта 1999 года № 69-ФЗ «О газоснабжении в Российской Федерации» и пункта 48 Правил подключения (технологического присоединения) газоиспользующего оборудования и объектов капитального 2 строительства к сетям газораспределения (утверждены Постановлением Правительства Российской Федерации от 13 сентября 2021 года № 1547). Как следует из представленных и дополнительно полученных материалов, Союз-Газ, имея статус юридического лица, является некоммерческой организацией, находящейся в городе Красногорске Московской области, которой на праве собственности как основному абоненту принадлежит сеть газораспределения, расположенная в границах деревни Ваньково Дмитровского городского округа Московской области и построенная за счет денежных средств членов этой организации. Акционерное общество «Мособлгаз» (далее – АО «Мособлгаз») обратилось к Союз-Газу с просьбой дать согласие на подключение (технологическое присоединение) к его сети газораспределения ряда жилых домов в деревне Ваньково в рамках реализации региональной программы социальной газификации, на что получило отказ. Далее АО «Мособлгаз» обратилось в арбитражный суд с требованием обязать Союз-Газ не чинить препятствий в подключении (технологическом присоединении) к принадлежащей ему сети газораспределения названных объектов капитального строительства ввиду реализации региональной программы социальной газификации. В свою очередь, Союз-Газ предъявил встречное исковое заявление к АО «Мособлгаз» и администрации Дмитровского городского округа Московской области с требованием о выплате компенсации за нарушение права собственности. Арбитражный суд Московской области решением от 28 апреля 2022 года (оставленным без изменения судами апелляционной и кассационной инстанций) обязал Союз-Газ не чинить препятствий в подключении (технологическом присоединении) жилых домов в деревне Ваньково, включенной в региональную программу социальной газификации, к его сети газораспределения. В частности, арбитражный суд указал, что принадлежащая Союз-Газу сеть газораспределения обладает достаточной пропускной способностью, обеспечивающей техническую возможность для подключения к ней оборудования и объектов капитального строительства новых потребителей 3 газа с сохранением условий газоснабжения имеющихся потребителей газа, и может быть использована АО «Мособлгаз» в рамках мероприятий по социальной газификации деревни Ваньково, а Союз-Газ не вправе ему препятствовать в таком подключении (технологическом присоединении). Определением того же арбитражного суда от 28 апреля 2022 года встречное исковое заявление Союз-Газа возвращено в том числе ввиду того, что основания первоначального и встречного исков, круг подлежащих установлению по ним обстоятельств различны, с чем согласился арбитражный суд апелляционной инстанции (постановление Десятого арбитражного апелляционного суда от 19 июля 2022 года). Определением судьи Верховного Суда Российской Федерации от 20 января 2023 года отказано в передаче кассационной жалобы Союз-Газа на обязавшие его не чинить препятствий судебные акты для рассмотрения в судебном заседании Судебной коллегии по экономическим спорам Верховного Суда Российской Федерации. Суды установили, что решение об указанном подключении (технологическом присоединении) было принято во исполнение пункта 8 перечня поручений по реализации Послания Президента Федеральному Собранию, утвержденного Президентом Российской Федерации 2 мая 2021 года № Пр-753. Согласно данному пункту Правительству Российской Федерации совместно с органами исполнительной власти субъектов Российской Федерации, публичным акционерным обществом «Газпром» и иными газораспределительными организациями поручалось обеспечить до 2023 года в газифицированных населенных пунктах без привлечения средств населения подводку газа до границ негазифицированных домовладений, расположенных вблизи от внутрипоселковых газопроводов, в случае наличия соответствующей заявки, определив критерии и условия такого подключения (технологического присоединения). При этом в соответствии с пунктом 1 постановления Правительства Московской области от 13 июля 2021 года № 560/24 «О назначении регионального оператора газификации и формировании источника 4 финансирования мероприятий по социальной газификации населенных пунктов Московской области» региональным оператором газификации Московской области определено АО «Мособлгаз». Кроме того, в силу пунктов 2 и 3 постановления Правительства Московской области от 10 июня 2003 года № 347/20 «О формировании единой технической политики в сфере газоснабжения Московской области» государственное унитарное предприятие газового хозяйства Московской области (правопреемник – АО «Мособлгаз») являлось разработчиком перспективной схемы развития газоснабжения Московской области. Согласно же разделу 3 Программы Правительства Московской области «Развитие газификации в Московской области до 2030 года», утвержденной постановлением Правительства Московской области от 20 декабря 2004 года № 778/50, проектирование и строительство газопроводов для выполнения мероприятий по социальной газификации осуществляется в том числе с использованием сетей газораспределения, принадлежащих основным абонентам; урегулирование отношений с ними по вопросу возможности использования принадлежащих им сетей газораспределения для выполнения исполнителем мероприятий по социальной газификации населенных пунктов Московской области в рамках данной Программы осуществляется органами местного самоуправления. Таким образом, из судебных актов по делу заявителя следует, что вопросы компенсации его затрат на строительство сети газораспределения, расходов членов Союз-Газа на ее содержание, а также выкупа государством этой сети газораспределения суды не рассматривали. Заявитель полагает, что оспариваемые положения противоречат статьям 19 (части 1 и 2) и 35 (часть 3) Конституции Российской Федерации, поскольку по смыслу, придаваемому им правоприменительной практикой, они обязывают собственника сети газораспределения как основного абонента дать согласие на подключение (технологическое присоединение) к его сети оборудования и объектов капитального строительства новых потребителей газа без предоставления равноценного возмещения, что чрезмерно ограничивает его право частной собственности. 5</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Право частной собственности, будучи одной из основ конституционного строя России (статья 2; статья 8, часть 2; статья 9, часть 2, Конституции Российской Федерации), наряду с другими непосредственно действующими правами и свободами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(статья 18 Конституции Российской Федерации). Статья 55 (часть 3) Конституции Российской Федерации допускает возможность ограничения федеральным законом права собственности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Согласно правовым позициям Конституционного Суда Российской Федерации конституционные гарантии охраны частной собственности законом, выражающие принцип ее неприкосновенности, а также конституционные гарантии судебной защиты распространяются как на сферу гражданско- правовых отношений, так и на отношения государства и личности в публично- правовой сфере (постановления от 13 октября 2022 года Газоснабжение, будучи частью энергетической системы, обеспечивающей не только единство экономического пространства в Российской Федерации, но и ее стратегические интересы, имеет свои особенности, обусловливающие его повышенную значимость для общества и государства. Федеральный закон «О газоснабжении в Российской Федерации», определяя правовые, экономические и организационные основы отношений в области газоснабжения в Российской Федерации, направлен на обеспечение удовлетворения потребностей государства в стратегическом виде энергетических ресурсов (часть первая статьи 1). Статья 4 данного Федерального закона относит к числу принципов государственной политики в области газоснабжения, в частности, государственную поддержку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 а также 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 (абзацы второй и четвертый). Оспариваемые заявителем положения направлены на конкретизацию указанных принципов применительно к обеспечению доступа к 7 газотранспортным и газораспределительным сетям потребителей газа. Согласно части третьей статьи 27 Федерального закона «О газоснабжении в Российской Федерации» 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 В соответствии с пунктом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 1547,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исполнитель обращается к такому основному абоненту в целях осуществления подключения заявителя (абзац первый); исполнитель в течение 3 рабочих дней со дня получения заявки на подключение направляет соответствующий запрос основному абоненту и одновременно уведомляет заявителя о направлении указанного запроса (абзац второй); основной абонент в течение 3 рабочих дней после получения соответствующего запроса от исполнителя направляет согласие на подключение объекта через принадлежащие ему сети газораспределения и (или) газопотребления заказным письмом с уведомлением о вручении или иным способом, позволяющим подтвердить его получение исполнителем (абзац третий); основной абонент (юридическое лицо) не вправе препятствовать подключению (технологическому присоединению) к принадлежащим ему сетям газораспределения и (или) газопотребления при наличии пропускной способности таких сетей (абзац четвертый). При этом абзац тринадцатый пункта 2 данных Правил называет основным абонентом юридическое или физическое лицо, не оказывающее услуги по транспортировке газа и 8 владеющее на праве собственности или на ином предусмотренном законом праве сетью газораспределения и (или) газопотребления. Из приведенных положений, действующих в системе правового регулирования, следует, что основной абонент не вправе препятствовать подключению (технологическому присоединению) оборудования, объектов капитального строительства новых потребителей газа к принадлежащим ему сетям газораспределения и (или) газопотребления при наличии пропускной способности этих сетей. Такое правовое регулирование основано на технологических особенностях газоснабжения, а также технической и экономической нецелесообразности, а во многих случаях – и невозможности прокладки отдельных газопроводов к объектам каждого потребителя газа. При этом подключение (технологическое присоединение) к сетям газораспределения новых объектов возможно лишь при наличии достаточной пропускной способности таких сетей с сохранением условий газоснабжения имеющихся потребителей газа и не связано с возложением на основного абонента как их собственника обязанности несения дополнительных расходов. Таким образом, оспариваемые положения направлены на достижение социально-значимых целей политики Российской Федерации в области газоснабжения, в том числе на улучшение социально-экономических условий жизни населения, и не могут рассматриваться как нарушающие конституционные права заявителя в обозначенном им аспекте. Проверка же законности и обоснованности судебных актов по конкретному делу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союза содействия в газификации и благоустройстве территории «Союз-Газ»,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