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699540-П/2023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Музыки Ирины Евгеньевны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И.Е.Музыки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И.Е.Музыка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И.Е.Музыка постановлением судьи районного суда, оставленным без изменения судьями вышестоящих судов,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тридцати пяти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Музыки Ирины Евгеньевны, поскольку она не отвечает требованиям Федерального конституционного закона «О Конституционном Суде Российской 9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