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696813-П/2023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Евдокимовой Марии Андреевны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М.А.Евдокимовой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М.А.Евдокимова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М.А.Евдокимова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пятидесяти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Евдокимовой Марии Андреевны, поскольку она не отвечает требованиям Федерального конституционного закона «О Конституционном Суде 9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