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696809-П/2023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Шутовой Кристины Олеговны на нарушение ее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К.О.Шутовой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К.О.Шутова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2 государственными органами Российской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К.О.Шутова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признана виновной в совершении административного правонарушения, предусмотренного частью 1 статьи 20.33 КоАП Российской Федерации, и ей назначен административный штраф в размере тридцати тысяч рублей. По мнению заявительницы,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4 является конституционной ценностью, подлежащей уважению и защите гражданами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Шутовой Кристины Олеговны, поскольку она не отвечает требованиям Федерального конституционного закона «О Конституционном Суде Российской 9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