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688734-П/2023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Демьянчук Дарьи Андреевны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Д.А.Демьянчук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Д.А.Демьянчук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государственными органами Российской 2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Д.А.Демьянчук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тридцати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является конституционной ценностью, подлежащей уважению и защите гражданами 4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Демьянчук Дарьи Андреевны,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