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Кононова Алексея Андреевича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А.А.Кононова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А.А.Кононов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А.А.Кононов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сорока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Кононова Алексея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