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Аптышевой Ольги Романовны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О.Р.Аптышевой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О.Р.Аптышева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О.Р.Аптышева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пятидесяти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Аптышевой Ольги Романовны,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