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696807-П/2023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Олега Петровича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О.П.Орлова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О.П.Орлов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О.П.Орлов постановлением судьи районного суда, оставленным без изменения судьями вышестоящих судов,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пятидесяти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Олега Петровича, поскольку она не отвечает требованиям Федерального конституционного закона «О Конституционном Суде Российской 9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