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744248-О/2024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Поповича Сергея Викторовича на нарушение его конституционных прав частью 2 статьи 6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С.В.Поповича,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С.В.Попович оспаривает конституционность части 2 статьи 6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закрепляющей, в частности, что в случае нарушения предусмотренного договором срока передачи участнику долевого строительства объекта долевого строительства застройщик 2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(за исключением случая, установленного частью 21 указанной статьи); если участником долевого строительства является гражданин, предусмотренная данной частью неустойка (пени) уплачивается застройщиком в двойном размере. Как следует из представленных материалов, решением Ленинградского районного суда города Калининграда от 6 июля 2022 года были частично удовлетворены исковые требования С.В.Поповича к АО «Специализированный застройщик «Акфен»: с ответчика в числе прочего была взыскана неустойка за нарушение срока передачи объекта долевого строительства – квартиры (220 000 руб.). Апелляционным определением судебной коллегии по гражданским делам Калининградского областного суда от 26 октября 2022 года и определением судебной коллегии по гражданским делам Третьего кассационного суда общей юрисдикции от 25 января 2023 года названное решение суда первой инстанции в указанной части оставлено без изменения. При этом суд, придя к выводу о том, что при исчислении размера неустойки, подлежащей взысканию с застройщика в связи с нарушением срока передачи объекта долевого строительства, подлежит применению ставка рефинансирования Центрального банка Российской Федерации, действовавшая на предусмотренный договором день исполнения застройщиком обязательства, а не на дату фактической передачи упомянутого объекта долевого строительства, произвел перерасчет неустойки. Определением судьи Верховного Суда Российской Федерации от 21 апреля 2023 года, с которым согласился заместитель Председателя данного суда (письмо от 24 июля 2023 года), в передаче кассационной жалобы С.В.Поповича для рассмотрения в судебном заседании суда кассационной инстанции отказано. 3 По мнению заявителя, часть 2 статьи 6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соответствует Конституции Российской Федерации, ее статьям 15 (части 1 и 2), 34 (часть 1), 35 (часть 1), 45 (часть 1), 46 и 120 (часть 2), поскольку содержащиеся в ней положения по смыслу, придаваемому им правоприменительной практикой, позволяют при расчете размера неустойки (пени) за нарушение предусмотренного договором срока передачи участнику долевого строительства объекта долевого строительства применять ставку рефинансирования Центрального банка Российской Федерации, действующую на дату исполнения обязательства, которая предусмотрена условиями гражданско-правового договора, а не на дату фактического исполнения обязательства.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охрану частной собственности законом (статья 35, часть 1). Федеральный законодатель, реализуя предоставленные ему Конституцией Российской Федерации (статья 71, пункт «о»; статья 72, пункт «к» части 1; статья 76, части 1 и 2) полномочия и действуя в пределах предоставленной ему дискреции, урегулировал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в Федеральном законе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Указанный Федеральный закон устанавливает и гарантии защиты прав, законных интересов и имущества участников долевого строительства (часть 1 статьи 1). Так, в частности, согласно положениям части 2 статьи 6 названного Федерального закона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5 цены договора за каждый день просрочки; если участником долевого строительства является гражданин, предусмотренная данной частью неустойка (пени) уплачивается застройщиком в двойном размере. Приведенные нормы направлены – с учетом особенностей регулирования соответствующих отношений – на защиту прав участников долевого строительства в случаях несоблюдения застройщиком условий договора участия в долевом строительстве, касающихся срока передачи участникам долевого строительства объекта долевого строительства (определения Конституционного Суда Российской Федерации от 17 июля 2018 года № 1879- О, от 28 февраля 2019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751 Конституции Российской Федерации закрепляет, что в Российской Федерации создаются условия для повышения благосостояния граждан,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 Сообразно этому законодательное регулирование в силу конституционных принципов правового государства, верховенства закона и юридического равенства должно отвечать требованиям ясности и непротиворечивости, а механизм его действия должен быть понятен субъектам правоотношений из содержания нормы или системы норм, находящихся в очевидной взаимосвязи, поскольку конституционное равноправие может быть обеспечено лишь при единообразном понимании нормы всеми правоприменителями (постановления Конституционного Суда Российской Федерации от 27 июня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Поповича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