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671285-П/2023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Воронкова Максима Сергеевича на нарушение его конституционных прав частью четвертой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М.С.Воронкова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М.С.Воронков осужден за совершение с использованием служебного положения в составе организованной группы (в нее наряду с другими лицами входил генеральный директор учрежденного Российской Федерацией ОАО «Оборонэнерго») мошенничества в особо крупном размере. Приговор изменен апелляционным определением, в частности, в вопросе назначения М.С.Воронкову наказания. При этом суд апелляционной инстанции не нашел оснований для иной квалификации деяний, признав доказанным, что само заключение договоров между рядом контрагентов было направлено на 2 хищение денежных средств, перечисленных Министерством обороны Российской Федерации на расчетный счет ОАО «Оборонэнергосбыт» (учредителями которого являлись ОАО «Оборонэнерго» и ОАО «Славянка»), услуги по снятию и обработке показаний приборов учета электрической энергии по этим договорам фактически не оказывались (работы выполнялись штатными сотрудниками ОАО «Оборонэнергосбыт»), соучастниками фальсифицировались акты сдачи-приемки услуг, на основании которых в дальнейшем перечислялись денежные средства с целью их хищения. Определением кассационного суда общей юрисдикции указанные судебные решения в части квалификации содеянного и назначения за него наказания оставлены без изменения. Также отклонены доводы кассационных жалоб о наличии в действиях осужденных признаков предпринимательской деятельности и совершении ими мошенничества в сфере предпринимательской деятельности. По оценке кассационного суда, предметом хищения являлись целевые бюджетные средства, перечисленные с лицевого счета Министерства обороны Российской Федерации, в качестве расчетов за поставленную электрическую энергию по заключенным государственным контрактам. Постановлением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Заявитель утверждает, что часть четвертая статьи 159 «Мошенничество» УК Российской Федерации не соответствует статьям 1, 2, 17, 35, 36, 45 и 55 Конституции Российской Федерации, поскольку – вследствие своей неопределенности – позволяет по своему буквальному смыслу и по смыслу, придаваемому ей правоприменительной практикой, применять общую норму о мошенничестве при наличии специальной нормы (статья 1594 данного Кодекса), произвольно толкуя закрепленное в ней понятие «мошенничество, сопряженное с преднамеренным неисполнением договорных обязательств, в сфере предпринимательской деятельности».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Воронкова Максима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