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Шумкова Вадима Анатольевича на нарушение его конституционных прав статьей 14, пунктом 1 примечаний к статье 158, статьями 159 и 238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В.А.Шумкова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(с учетом изменений, внесенных апелляционным определением) гражданин В.А.Шумков осужден за совершение с использованием служебного положения мошенничества в особо крупном размере к трем годам шести месяцам лишения свободы условно с испытательным сроком два года. При этом суд установил, что В.А.Шумков, являясь директором и единственным учредителем общества с ограниченной ответственностью, предоставил для заключения договора на выполнение ремонтных работ газового оборудования, расположенного на территории бюджетного учреждения здравоохранения, копии документов, содержащих недостоверные сведения о закупке необходимой новой арматуры 2 для выполнения работ надлежащего качества. В ходе ремонтных работ использовались ненадлежащие детали, на которые были представлены поддельные технические паспорта, а также нанесены обозначения (шильдики), не соответствующие действительности. С учетом исследованных доказательств суд признал доказанным факт хищения В.А.Шумковым денежных средств, перечисленных за выполнение работ по ремонту газового оборудования. Выводы суда о квалификации деяния признаны правильными определением Восьмого кассационного суда общей юрисдикции. Постановлением судьи Верховного Суда Российской Федерации отказано в передаче кассационной жалобы осужденного для рассмотрения в судебном заседании суда кассационной инстанции. В этой связи В.А.Шумков просит признать пункт 1 примечаний к статье 158 «Кража», статьи 159 «Мошенничество» и 238 «Производство, хранение, перевозка либо сбыт товаров и продукции, выполнение работ или оказание услуг, не отвечающих требованиям безопасности» УК Российской Федерации противоречащими статьям 15 (часть 2), 18, 19, 40, 45 (часть 1), 49 (части 2 и 3), 50 (часть 1) и 55 (часть 3) Конституции Российской Федерации, поскольку они, по его мнению, позволяют – в системе действующего правового регулирования и с учетом смысла, приданного им сложившейся правоприменительной практикой, – лишать граждан права на справедливое судебное разбирательство, признавать некачественное выполнение работ, не соответствующее требованиям безопасности, безвозмездным изъятием чужого имущества, а также не учитывать гражданско-правовое регулирование таких отношений. Кроме того, заявитель утверждает о несоответствии Конституции Российской Федерации в аналогичном аспекте статьи 14 «Понятие преступления» УК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Шумкова Вадима Анатольевича,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