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747548-О/2024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Якушева Алексея Михайловича на нарушение его конституционных прав положениями нормативных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А.М.Якушева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судьи, с которым согласились суды вышестоящих инстанций, частично удовлетворены исковые требования гражданина А.М.Якушева о взыскании со страховой организации страховой выплаты, неустойки и штрафа. При этом суд определил размер страхового возмещения на основе результатов назначенной им экспертизы, в рамках которой соответствующая оценка производилась с учетом износа заменяемых деталей, а также снизил размер неустойки и штрафа. В связи с этим А.М.Якушев просит признать противоречащими статьям 2, 17, 19, 35, 45–47, 50 и 55 Конституции Российской Федерации: 2 положения пунктов 151–153, подпунктов «е» и «ж» пункта 161 статьи 12 Федерального закона от 25 апреля 2002 года № 40-ФЗ «Об обязательном страховании гражданской ответственности владельцев транспортных средств» – как позволяющие судам при наличии отказа страховой компании в признании случая страховым и, соответственно, отказа от организации восстановительного ремонта транспортного средства потерпевшего, а также при наличии заключенных страховой организацией договоров на организацию восстановительного ремонта со станциями технического обслуживания и при отсутствии отдельно заключенного письменного соглашения между страховщиком и потерпевшим отказывать потерпевшему во взыскании ущерба в полном объеме, т.е. без учета износа транспортного средства; как порождающие неопределенность в вопросе о том, с какого момента у потерпевшего возникает право требовать возмещения такого ущерба; пункты 1 и 2 статьи 333 ГК Российской Федерации, поскольку они позволяют судам по заявлению ответчика – юридического лица – снижать суммы неустойки и штрафа без предоставления ответчиком соответствующих доказательств их несоразмерности; части первую, третью, шестую и седьмую статьи 67 ГПК Российской Федерации – как позволяющие судам при наличии заявления стороны по делу о фальсификации копии документа или иного письменного доказательства выносить решение без истребования оригинала такого документа или доказательства, при этом не отражая в решении мотивов, по которым соответствующие копии приняты в качестве обосновывающих выводы суда, а заявление стороны о подлоге отвергнуто.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применение пунктов 152 и 153 статьи 12 Федерального закона «Об обязательном страховании гражданской ответственности владельцев транспортных средств» 3 в конкретном деле с участием заявителя представленными материалами не подтверждается. Как неоднократно отмечал Конституционный Суд Российской Федерации, само по себе упоминание в судебных постановлениях тех или иных норм права не может расцениваться как их применение в конкретном деле (Постановление от 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Якушева Алексея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