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744040-П/2024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Дюльдина Сергея Нинельевича на нарушение его конституционных прав абзацем вторым пункта 2 статьи 218 и пунктом 4 статьи 1152 Гражданского кодекса Российской Федерации, пунктом 5 части 2 статьи 153 и частью 11 статьи 155 Жилищного кодекса Российской Федерации, абзацем первым пункта 81 и пунктом 86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С.Н.Дюльдина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С.Н.Дюльдин оспаривает конституционность абзаца второго пункта 2 статьи 218 «Основания приобретения права собственности» и пункта 4 статьи 1152 «Принятие наследства» ГК Российской Федерации, пункта 5 части 2 статьи 153 «Обязанность по внесению платы за жилое помещение и коммунальные услуги» и части 11 статьи 155 «Внесение платы за жилое помещение и коммунальные услуги» Жилищного кодекса 2 Российской Федерации, а также следующих положений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– Правила): абзаца первого пункта 81, в силу которого 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 своевременная замена должны быть обеспечены собственником жилого или нежилого помещения, за исключением случаев, предусмотренных пунктом 801 Правил; пункта 86, закрепляющего, что при временном, т.е. более 5 полных календарных дней подряд,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подтвержденной в установленном Правилами порядке, осуществляется перерасчет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электроснабжению и газоснабжению на цели отопления жилых (нежилых) помещений, предусмотренных соответственно подпунктами «д» и «е» пункта 4 Правил (абзац первый); 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8113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 (абзац второй). 3 Из представленных материалов следует, что решением мирового судьи, оставленным без изменения определением суда апелляционной инстанции, С.Н.Дюльдину отказано в удовлетворении исковых требований о защите прав потребителя, взыскании денежных средств. Мировой судья указал, что довод С.Н.Дюльдина о том, что жилым помещением в спорный период он не пользовался, не освобождает его как собственника от обязанности по оплате коммунальных услуг, в том числе услуги по обращению с твердыми коммунальными отходами. Определением суда кассационной инстанции постановления нижестоящих судов оставлены без изменения. По мнению заявителя, оспариваемые положения противоречат Конституции Российской Федерации, ее статьям 2, 7 (часть 1), 8 (часть 2), 17 (часть 1), 18, 19 (части 1 и 2), 27 (часть 1), 35, 40 (часть 1) и 55 (части 1 и 3), поскольку они по смыслу, придаваемому им правоприменительной практикой, позволяют признавать наследника собственником принятого им наследственного имущества и носителем имущественных обязанностей в отношении данного имущества со дня открытия наследства, но носителем имущественных прав в отношении этого имущества – с момента регистрации права собственности на указанное имущество в Едином государственном реестре недвижимости.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2 статьи 218 ГК Российской Федерации об основаниях приобретения права собственности, а также пункт 4 статьи 1152 того же Кодекса, – согласно которому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регистрации, – направлены на защиту прав граждан при наследовании и обеспечение стабильности гражданского оборота и в качестве таковых служат реализации 4 предписаний статей 17 (часть 3), 35 и 55 (часть 3) Конституции Российской Федерации. Кроме того, согласно пункту 34 постановления Пленума Верховного Суда Российской Федерации от 29 мая 2012 года № 9 «О судебной практике по делам о наследовании» наследник, принявший наследство, независимо от времени и способа его принятия считается собственником наследственного имущества, носителем имущественных прав и обязанностей со дня открытия наследства вне зависимости от факта государственной регистрации прав на наследственное имущество и ее момента (если такая регистрация предусмотрена законом). Пункт 5 части 2 статьи 153 Жилищного кодекса Российской Федерации, определяя момент, начиная с которого у собственника помещения в многоквартирном доме возникает обязанность по несению бремени содержания принадлежащего ему имущества, а также положение пункта 81 Правил, имеющее целью установление действительного объема потребляемых коммунальных услуг, а также обеспечение безопасности используемого потребителем внутриквартирного оборудования, гарантируют соблюдение баланса прав и интересов участников жилищных правоотношений при потреблении коммунальных услуг. При этом закрепленная названным положением Жилищного кодекса Российской Федерации взаимосвязь момента возникновения права собственности на жилое помещение и момента возникновения обязанности по внесению платы за коммунальные услуги соответствует правовой природе данного права, неотъемлемым элементом которого является бремя содержания имущества, в том числе жилого помещения и общего имущества в многоквартирном доме, предусмотренное статьей 210 ГК Российской Федерации и частью 3 статьи 30 Жилищного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Дюльдина Сергея Нинельевича,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