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595335-П/2022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Частная охранная организация «Грифон» на нарушение его конституционных прав пунктом 22 Перечня объектов, на которые частная охранная деятельность не распространяется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Частная охранная организация «Грифон»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Частная охранная организация «Грифон» (далее – ООО ЧОО «Грифон») оспаривает конституционность пункта 22 Перечня объектов, на которые частная охранная деятельность не распространяется (приложение № 1 к Постановлению Правительства Российской Федерации от 14 августа 1992 года № 587 «Вопросы частной детективной (сыскной) и частной охранной деятельности»), согласно которому частная охранная деятельность не распространяется на объекты транспортной инфраструктуры и транспортные средства, защита которых от актов незаконного вмешательства 2 осуществляется подразделениями транспортной безопасности в соответствии с Федеральным законом от 9 февраля 2007 года № 16-ФЗ «О транспортной безопасности». Как следует из представленных материалов, решением Арбитражного суда Алтайского края от 27 марта 2020 года, оставленным без изменения постановлением Седьмого арбитражного апелляционного суда от 16 июля 2020 года и постановлением Арбитражного суда Западно-Сибирского округа от 24 ноября 2020 года, ООО ЧОО «Грифон» признано виновным в совершении административного правонарушения, предусмотренного частью 4 статьи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и ему назначено административное наказание в виде административного штрафа в размере ста тысяч рублей. Арбитражные суды установили, что заявитель в нарушение лицензионных требований осуществлял охрану двух локомотивных депо, которые с учетом состава переданного под охрану имущества были признаны объектами инфраструктуры железнодорожного транспорта, подлежащими государственной охране. Определением судьи Верховного Суда Российской Федерации от 18 марта 2021 года в передаче кассационной жалобы ООО ЧОО «Грифон»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оспариваемая норма по смыслу, придаваемому ей правоприменительной практикой, не соответствует статьям 34, 37 (часть 1), 46 (части 1 и 2) и 55 (часть 3) Конституции Российской Федерации, поскольку лишает частные охранные организации возможности осуществлять охрану локомотивных депо железнодорожного транспорта, которые не имеют стратегического, мобилизационного или оборонного значения.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гарантирует свободу экономической деятельности (статья 8, часть 1) и в развитие этого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Данное конституционное право не является абсолютным и может быть ограничено федеральным законодателем, который, действуя в рамках предоставленных ему Конституцией Российской Федерации дискреционных полномочий, обязан обеспечивать разумный баланс частных и публичных интересов в соответствующей сфере и соблюдать вытекающее из ее статьи 55 (часть 3) требование о возможности ограничений прав и свобод человека и гражданина только соразмерно конституционно значимым целям. При выборе средств и способов правового воздействия на субъектов предпринимательской деятельности федеральный законодатель должен учитывать как сложившуюся в России отраслевую систему правового регулирования и общие принципы соответствующих отраслей права – публичного или частного, так и социальные, экономические и иные факторы, определяющие объективные пределы его конституционных полномочий (постановления Конституционного Суда Российской Федерации от 18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Частная охранная организация «Грифон»,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