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554959-П/2021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Сона Петра Беняминовича на нарушение его конституционных прав статьей 2.9 и частью 2 статьи 12.27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П.Б.Сона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П.Б.Сон оспаривает конституционность статьи 2.9 «Возможность освобождения от административной ответственности при малозначительности административного правонарушения» и части 2 статьи 12.27 «Невыполнение обязанностей в связи с дорожно-транспортным происшествием» КоАП Российской Федерации. Как следует из представленных материалов, постановлением мирового судьи от 21 мая 2020 года П.Б.Сон был привлечен к административной ответственности за оставление водителем в нарушение Правил дорожного 2 движения места дорожно-транспортного происшествия, участником которого он являлся, при отсутствии признаков уголовно наказуемого деяния (часть 2 статьи 12.27 КоАП Российской Федерации) и ему было назначено наказание в виде лишения права управления транспортными средствами на срок один год. Решением судьи Ленинского районного суда города Перми от 23 июня 2020 года из названного постановления мирового судьи было исключено указание на то, что субъективная сторона административного правонарушения, предусмотренного частью 2 статьи 12.27 КоАП Российской Федерации, не определена законодателем как содержащая исключительно умышленную форму вины. Вышестоящие суды, включая Верховный Суд Российской Федерации, оставили данное решение без изменения, не найдя оснований для признания совершенного П.Б.Соном административного правонарушения малозначительным. Заявитель просит признать статью 2.9 КоАП Российской Федерации не соответствующей Конституции Российской Федерации, поскольку данная норма, по его мнению, является неопределенной, так как не содержит конкретные критерии признания административного правонарушения малозначительным. Неконституцонность части 2 статьи 12.27 КоАП Российской Федерации заявитель усматривает в том, что она предусматривает излишне строгое административное наказание за административное правонарушение, предусмотренное данной нормой.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допускает возможность освобождения от административной ответственности в связи с малозначительностью совершенного правонарушения, когда действие или бездействие хотя формально и содержит признаки состава административного правонарушения, но с учетом характера совершенного деяния и роли правонарушителя, размера вреда и тяжести наступивших последствий не представляет существенного нарушения охраняемых общественных отношений (статья 2.9). При этом, как разъяснил Верховный Суд Российской Федерации, 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(пункт 21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Как отметил Конституционный Суд Российской Федерации, применение статьи 2.9 КоАП Российской Федерации является правом, а не обязанностью суда (определения от 28 июня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Сона Петра Беняминовича,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