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620076-П/2022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Шума Михаила Дмитриевича на нарушение его конституционных прав статьями 112 и 119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М.Д.Шума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М.Д.Шум оспаривает конституционность статей 112 «Умышленное причинение средней тяжести вреда здоровью» и 119 «Угроза убийством или причинением тяжкого вреда здоровью» УК Российской Федерации. Согласно представленным материалам М.Д.Шум обвинялся в совершении без разрыва во времени двух преступлений: угрозы убийством в отношении двух потерпевших и умышленного причинения одному из них вреда здоровью средней тяжести. Суд первой инстанции исключил с учетом позиции государственного обвинителя из числа потерпевших гражданку Т., а также пришел к выводу, что противоправные действия обвиняемого, начатые 2 как угроза убийством, переросли в более тяжкое преступление – причинение средней тяжести вреда здоровью. Деяние М.Д.Шума с учетом изменений, внесенных постановлением Восьмого кассационного суда общей юрисдикции, квалифицированы по пункту «з» части второй статьи 112 УК Российской Федерации. Такая квалификация признана правильной постановлением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В этой связи заявитель утверждает, что оспариваемые нормы противоречат Конституции Российской Федерации, в том числе ее статьям 19, 37, 41, 45 и 46, поскольку они в правоприменительной практике не позволяют осужденному быть оправданным и реабилитированным по факту угрозы убийством в отношении одного из лиц (исключенного из числа потерпевших) при признании судом поглощения угрозы в отношении второго гражданина более тяжким преступлением (причинением вреда здоровью средней тяжести).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Любое посягательство на личность, ее права и свободы, а тем более на физическую неприкосновенность является одновременно и посягательством на человеческое достоинство, поскольку человек становится объектом произвола и насилия. С учетом этого государство обязано предусмотреть меры предупреждения общественно опасных деяний, посягающих на неприкосновенность личности, обеспечить эффективное противодействие физическому насилию, а также вправе, приняв к сведению тяжесть и степень распространенности таких деяний, выбрать ту или иную конструкцию состава правонарушения, установить признаки противоправности деяния, вид ответственности за его совершение, конкретизировать меры наказания, учитывая особую конституционную значимость достоинства личности и права на личную неприкосновенность, необходимость повышенной их 3 защиты, обеспечивая при этом соразмерность ответственности ценностям, охраняемым законом, включая уголовный, при строгом соблюдении принципов равенства и справедливости (Постановление Конституционного Суда Российской Федерации от 8 апреля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Шума Михаила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