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Борисовой Натальи Вячеславовны на нарушение ее конституционных прав положениями статьи 159 Уголовного кодекса Российской Федерации, пункта 4 части первой статьи 73 и пункта 4 части второй статьи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Н.В.Борисовой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(с учетом изменений, внесенных апелляционным определением) гражданка Н.В.Борисова признана виновной в совершении путем обмана и злоупотребления доверием хищений денежных средств у 37 потерпевших. Кассационный суд общей юрисдикции отклонил доводы стороны защиты о том, что сумма похищенного должна определяться на момент возбуждения уголовного дела ввиду того, что Н.В.Борисова регулярно возвращала часть денежных 2 средств потерпевшим. Судья Верховного Суда Российской Федерации, отказывая в передаче кассационной жалобы для рассмотрения в судебном заседании суда кассационной инстанции, указал на установленные в приговоре суда факты отсутствия у Н.В.Борисовой реальной возможности возврата денежных средств потерпевшим и на то, что ею осуществлены лишь незначительные платежи потерпевшим. Не нашел оснований для отмены состоявшихся судебных решений и заместитель Председателя Верховного Суда Российской Федерации. В этой связи заявительница просит признать положения статьи 159 «Мошенничество» УК Российской Федерации, пункта 4 части первой статьи 73 «Обстоятельства, подлежащие доказыванию» и пункта 4 части второй (обозначенной в жалобе как часть первая) статьи 171 «Порядок привлечения в качестве обвиняемого» УПК Российской Федерации не соответствующими статьям 17, 18, 21, 22 (часть 1), 23–25, 45, 49, 50 (часть 2) и 53–55 Конституции Российской Федерации. По ее мнению, оспариваемые нормы по смыслу, придаваемому им правоприменительной практикой, позволяют квалифицировать деяние как оконченное хищение, учитывая сумму не только реально причиненного, но и предполагаемого (планируемого) ущерба, а также допускают возможность не исключать из объема обвинения суммы возвращенных до возбуждения уголовного дела денежных средств, ссылаясь на охват умыслом всего объема средств, полученных от потерпевших.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основанием уголовной ответственности является совершение деяния, содержащего все признаки состава преступления, предусмотренного данным Кодексом (статья 8). При этом общественно опасные последствия совершенного преступления – в зависимости от конструкции его состава (материального либо формального) – могут входить или не входить в число признаков, 3 обязательных для его признания оконченным (постановления Конституционного Суда Российской Федерации от 7 апреля 2015 года № 7- П,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Борисовой Натальи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