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538804-П/2021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Магденко Натальи Николаевны на нарушение ее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Н.Н.Магденко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 осужден за совершение преступления приговором суда от 22 мая 2002 года, впоследствии отмененным определением суда второй инстанции от 6 декабря 2012 года по результатам рассмотрения кассационных жалоб осужденного и потерпевшей гражданки Н.Н.Магденко с прекращением уголовного дела за истечением сроков давности уголовного преследования. Постановлениями судьи Московского городского суда от 8 февраля 2013 года отказано в удовлетворении надзорной жалобы М. об оспаривании вынесенных в его отношении судебных решений и в удовлетворении 2 надзорной жалобы Н.Н.Магденко на состоявшиеся по уголовному делу судебные решения, утверждавшей о ее несвоевременном извещении о дате и времени судебного заседания суда второй инстанции. С данными постановлениями в 2013 году согласился председатель Московского городского суда. В удовлетворении последующих надзорных жалоб Н.Н.Магденко отказано постановлением судьи Верховного Суда Российской Федерации от 17 сентября 2013 года и письмом заместителя Председателя того же суда от 17 октября 2013 года. Письмами судьи и заместителя председателя Второго кассационного суда общей юрисдикции от 22 декабря 2020 года и от 4 февраля 2021 года очередные жалобы Н.Н.Магденко возвращены без рассмотрения с разъяснением, что они содержат те же правовые основания и аналогичны по содержанию ранее поданным ею и М. в Московский городской суд надзорным жалобам. В данной связи заявительница просит признать не соответствующей статьям 17 (части 1 и 2), 18, 46 (часть 1), 47 (часть 1) и 55 (часть 3) Конституции Российской Федерации статью 40117 «Недопустимость внесения повторных кассационных жалобы, представления» УПК Российской Федерации, как не допускающую возможности подачи потерпевшим первой кассационной жалобы по подсудности – во вновь созданный кассационный суд общей юрисдикции с учетом постановлений об отказе в удовлетворении предшествующих надзорных жалоб стороны защиты и потерпевшего, вынесенных одним и тем же судьей суда города федерального значения, т.е., по утверждению заявительницы, уже связанным ранее высказанной позицией по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46 Конституции Российской Федерации не предполагает возможности выбора гражданином по своему усмотрению любых способов и 3 процедур судебной защиты, особенности которых применительно к отдельным видам производства и категориям дел определяются, исходя из Конституции Российской Федерации, федеральными конституционными законами и федеральными законами (определения Конституционного Суда Российской Федерации от 13 января 2000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Магденко Натальи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