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543870-П/2021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Алексея Владимировича на нарушение его конституционных прав статьями 108 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13 декабря 2019 года в отношении гражданина А.В.Кузнецова как обвиняемого в совершении преступлений, предусмотренных частью первой статьи 303 и частью четвертой статьи 159 УК Российской Федерации, избрана мера пресечения в виде заключения под стражу, срок которой неоднократно продлевался, последний раз – на 25 суток, а всего до 15 месяцев 20 суток, т.е. до 4 апреля 2021 года, для ознакомления стороны защиты с материалами завершенного расследованием уголовного дела и выполнения последующих процессуальных действий перед передачей дела в суд. 2 В данной связи заявитель просит признать не соответствующими статьям 19 (части 1 и 2), 22 (часть 1), 46 (части 1 и 2), 49 и 55 (часть 3) Конституции Российской Федерации статьи 108 «Заключение под стражу» и 109 «Сроки содержания под стражей» УПК Российской Федерации, как допускающие, по его утверждению, возможность произвольного избрания и продления меры пресечения в виде заключения под стражу в отношении лица, являющегося индивидуальным предпринимателем и обвиняемого в совершении преступления в сфере предпринимательской деятельности, превышая предельный срок применения данной меры пресечения.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