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745140-О/2024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Малафеева Михаила Сергеевича на нарушение его конституционных прав статьей 3271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М.С.Малафеева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М.С.Малафеев оспаривает конституционность статьи 3271 «Пределы рассмотрения дела в суде апелляционной инстанции» ГПК Российской Федерации. Как следует из представленных материалов, М.С.Малафеев обратился в суд с иском к гражданину К. о возмещении материального ущерба, причиненного дорожно-транспортным происшествием (включая стоимость восстановительного ремонта автомобиля в размере 2 954 200 рублей). Исковые требования М.С.Малафеева были частично удовлетворены судом первой инстанции: в пользу истца взыскано 125 532 рубля, из которых 123 900 рублей – сумма восстановительного ремонта автомобиля, 2 установленная судом на основании результатов назначенной по делу судебной автотехнической экспертизы. В удовлетворении ходатайства М.С.Малафеева о назначении по делу повторной экспертизы судом было отказано. В ходе рассмотрения дела судом апелляционной инстанции была назначена (в том числе по ходатайству М.С.Малафеева) повторная судебная экспертиза, которая установила стоимость восстановительного ремонта автомобиля в размере 199 300 рублей. Суд апелляционной инстанции, изменив решение суда первой инстанции, взыскал данную сумму в пользу истца. При этом судом со ссылкой на положения статьи 3271 ГПК Российской Федерации было отказано в приобщении к материалам дела заявления истца об изменении размера исковых требований. Кассационным судом общей юрисдикции апелляционное определение в части разрешения вопроса о распределении расходов истца на оплату рецензии на экспертное заключение было отправлено на новое рассмотрение в суд апелляционной инстанции, в остальной части – оставлено без изменения. Определением судьи Верховного Суда Российской Федерации заявителю отказано в передаче кассационной жалобы для рассмотрения в судебном заседании Судебной коллегии по гражданским делам этого суда. По мнению М.С.Малафеева, оспариваемое законоположение противоречит статьям 2, 7, 15 (части 1 и 2), 17 (части 1 и 2), 18, 19 (части 1 и 2), 38 (часть 1), 39 (части 1 и 2), 41 (части 1 и 2), 42, 45 (часть 1), 46 и 55 (часть 3) Конституции Российской Федерации, поскольку не гарантирует гражданам, пострадавшим в результате дорожно-транспортного происшествия, права на возмещение вреда путем подачи уточненных исковых требований после проведения назначенной судом апелляционной инстанции повторной (дополнительной) судебной экспертизы, установившей размер причиненного вреда.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Малафеева Михаила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