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745754-О/2024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Попока Геннадия Викторовича на нарушение его конституционных прав пунктом 1 статьи 196, статьями 399 и 419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Г.В.Попока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Г.В.Попок оспаривает конституционность следующих положений Гражданского кодекса Российской Федерации: пункта 1 статьи 196, устанавливающего, что общий срок исковой давности составляет три года со дня, определяемого в соответствии со статьей 200 того же Кодекса; статьи 399, регламентирующей порядок привлечения к субсидиарной ответственности; статьи 419, согласно которой обязательство прекращается ликвидацией юридического лица (должника или кредитора), кроме случаев, когда законом или иными правовыми актами исполнение обязательства ликвидированного 2 юридического лица возлагается на другое лицо (по требованиям о возмещении вреда, причиненного жизни или здоровью, и др.). Как следует из приложенных к жалобе материалов, на основании статьи 1085 ГК Российской Федерации с ООО «Б.» в пользу заявителя взысканы доход, утраченный им за время прохождения лечения, и компенсация морального вреда. Впоследствии названное хозяйственное общество было признано недействующим и исключено из Единого государственного реестра юридических лиц, при этом обязательство перед Г.В.Попоком к этому моменту не было исполнено в полном объеме. В связи с этим заявитель обратился в суд с требованиями, направленными на привлечение ряда лиц, в том числе учредителя ООО «Б.», к субсидиарной ответственности. Решением суда общей юрисдикции, оставленным без изменения судами вышестоящих инстанций, в удовлетворении иска в этой части отказано. Суды пришли к выводу об отсутствии оснований для привлечения учредителя указанного хозяйственного общества к субсидиарной ответственности и исходили из того, что Г.В.Попок обратился в суд по истечении срока исковой давности, при этом доказательств наличия уважительных причин пропуска срока им не представлено.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нормы противоречат статьям 2, 7 (часть 2), 46 (часть 1) Конституции Российской Федерации в той мере, в какой они позволяют отказывать в привлечении к субсидиарной ответственности лиц, контролировавших общество с ограниченной ответственностью (должника), которое исключено из ЕГРЮЛ, по денежным обязательствам этого общества, связанным с возмещением вреда, причиненного здоровью кредитора, а также применять к данному требованию общий срок исковой давности.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Попока Геннадия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