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582698-П/2021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«Гранд» на нарушение его конституционных прав пунктом 1 статьи 200, статьей 301 и пунктом 1 статьи 302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по требованию общества с ограниченной ответственностью «Гранд»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«Гранд» (далее также – ООО «Гранд») оспаривает конституционность следующих норм Гражданского кодекса Российской Федерации: пункта 1 статьи 200, предусматривающего, что,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статьи 301, в соответствии с которой собственник вправе истребовать свое имущество из чужого незаконного владения; 2 пункта 1 статьи 302, закрепляющего, что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Как следует из представленных материалов, решением арбитражного суда, оставленным без изменения постановлением суда апелляционной инстанции, за истцом признаны доли в праве собственности на помещения, относящиеся к общему имуществу собственников помещений в здании; эти помещения истребованы от ООО «Гранд». Суды, сославшись в том числе на дату приобретения истцом права собственности на помещения в здании, отклонили довод ООО «Гранд» о пропуске им срока исковой давности. Суд кассационной инстанции, оставляя без изменения акты нижестоящих судов, отметил, что ответчиком не представлены доказательства отсутствия у предыдущего собственника помещений, приобретенных истцом, возможности пользоваться спорным имуществом. Отклоняя довод ООО «Гранд» о неверном применении статьи 301 ГК Российской Федерации, в обоснование которого заявитель ссылался на нахождение одного из помещений в аренде у другого юридического лица, суд кассационной инстанции, среди прочего, упомянул срок действия договора аренды. Кроме того, суд отметил, что удовлетворение иска предполагает освобождение помещения от перегородок, которыми обособлена его часть. В передаче кассационной жалобы на данные судебные акты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положения противоречат статьям 1 (часть 1), 7 (часть 1), 8, 17, 19 (части 1 и 2), 34 (часть 1), 35 (части 1–3), 45, 46 (часть 1) и 55 (часть 3) Конституции Российской Федерации, поскольку они позволяют связывать момент начала течения срока исковой давности с 3 приобретением каждым новым собственником имущества, владение которым обусловливает возможность предъявления требования истцом, допускают истребование имущества у титульного собственника, им не владеющего, и безвозмездное изъятие имущества, создание и (или) содержание которого не оплачивалось истцом или его правопредшественником.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200 ГК Российской Федерации сформулирован таким образом, что наделяет суд необходимыми полномочиями по определению момента начала течения срока исковой давности исходя из фактических обстоятельств дела (определения Конституционного Суда Российской Федерации от 16 июля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«Гранд»,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