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678516-П/2023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международной общественной организации «Международный Центр Рерихов» на нарушение ее конституционных прав пунктом 1 статьи 234 и пунктом 1 статьи 1191 Гражданского кодекса Российской Федерации, частью 1 статьи 14 и статьей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международной общественной организации «Международный Центр Рерихов»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Международная общественная организация «Международный Центр Рерихов» (далее также – Международный Центр Рерихов) оспаривает конституционность: пункта 1 статьи 234 ГК Российской Федерации, закрепляющего, что лицо – гражданин или юридическое лицо, – не являющееся собственником имущества, но добросовестно, открыто и непрерывно владеющее как своим собственным недвижимым имуществом, если иные срок и условия приобретения не предусмотрены данной статьей, в течение пятнадцати лет 2 либо иным имуществом в течение пяти лет, приобретает право собственности на это имущество (приобретательная давность); право собственности на недвижимое и иное имущество, подлежащее государственной регистрации, возникает у лица, приобретшего это имущество в силу приобретательной давности, с момента такой регистрации; пункта 1 статьи 1191 того же Кодекса, в силу которого при применении иностранного права суд устанавливает содержание его норм в соответствии с их официальным толкованием, практикой применения и доктриной в соответствующем иностранном государстве; части 1 статьи 14 АПК Российской Федерации, предусматривающей, что при применении норм иностранного права арбитражный суд устанавливает содержание этих норм в соответствии с их официальным толкованием, практикой применения и доктриной в соответствующем иностранном государстве; статьи 69 «Основания освобождения от доказывания» названного Кодекса. Из представленных материалов следует, что постановлением арбитражного суда кассационной инстанции отменены судебные акты нижестоящих судов, отказано в удовлетворении иска Международного Центра Рерихов об истребовании имущества из владения федерального государственного бюджетного учреждения культуры. По мнению заявителя: пункт 1 статьи 234 ГК Российской Федерации противоречит статьям 1, 2, 15, 19, 35, 45 и 46 Конституции Российской Федерации, поскольку по смыслу, придаваемому ему правоприменительной практикой, допускает отказ в истребовании имущества из чужого незаконного владения приобретателю по давности и в признании за таким приобретателем права собственности в связи с отсутствием у него правовых оснований для приобретения права собственности в момент получения имущества, создавая таким образом условия для нарушения принципа правовой 3 определенности и для преодоления конституционных гарантий защиты собственности, а также препятствует возвращению вещи в гражданский оборот и лишает лицо, которое открыто и добросовестно владеет вещью как своей собственной, заботится об имуществе и несет расходы на его содержание, не нарушая при этом прав третьих лиц, возможности легализовать такое владение; пункт 1 статьи 1191 ГК Российской Федерации во взаимосвязи с частью 1 статьи 14 АПК Российской Федерации не соответствуют статьям 15, 17, 19 и 46 Конституции Российской Федерации, поскольку по смыслу, придаваемому им правоприменительной практикой, – вместо установления содержания норм иностранного права в соответствии с их официальным толкованием, практикой применения и доктриной, – позволяют применять иностранный правовой институт лишь в контексте правового института, известного российскому правопорядку; статья 69 названного Кодекса противоречит статьям 15, 17, 18 и 46 Конституции Российской Федерации в той мере, в какой она дает возможность не придавать преюдициального значения иностранным судебным решениям, не требующим признания на территории Российской Федерации в силу международного договора Российской Федерации, в связи с чем создает условия для нарушения конституционных принципов правовой определенности и стабильности гражданского оборота.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234 ГК Российской Федерации закрепляет одно из оснований приобретения права собственности и направлена на защиту интересов лиц, не являющихся собственниками имущества, но добросовестно, открыто и непрерывно владеющих им как своим собственным, а также на реализацию прав, гарантированных статьей 35 (часть 2) Конституции Российской Федерации. В Постановлении от 26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международной общественной организации «Международный Центр Рерихов»,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