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561183-П/2021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1 статьи 4.5, пунктом 6 части 1 статьи 24.5, частью 3 статьи 30.6, пунктом 1 части 1 статьи 30.7, а также частью 2 статьи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части 1 статьи 4.5 «Давность привлечения к административной ответственности», пункта 6 части 1 статьи 24.5 «Обстоятельства, исключающие производство по делу об административном правонарушении», части 3 статьи 30.6 «Рассмотрение жалобы на постановление по делу об административном правонарушении», пункта 1 части 1 статьи 30.7 «Решение по жалобе на постановление по делу об административном правонарушении», а также части 2 статьи 30.17 «Виды постановлений, принимаемых по результатам рассмотрения жалобы, протеста на вступившие в законную силу 2 постановление по делу об административном правонарушении, решения по результатам рассмотрения жалоб, протестов» КоАП Российской Федерации. По мнению Э.А.Гусейнова, оспариваемые положения статей 30.6 и 30.7 КоАП Российской Федерации не соответствуют статьям 18, 21, 22, 23 (часть 1), 46 (части 1 и 2), 49, 52 и 53 Конституции Российской Федерации, поскольку дали возможность суду апелляционной инстанции произвольно внести исправления в постановление суда первой инстанции, а также не позволили судам указать на наличие у заявителя права на компенсацию морального вреда в связи с незаконным административным преследованием. Иные оспариваемые Э.А.Гусейновым нормы Кодекса Российской Федерации об административных правонарушениях, как он утверждает, не позволили судам кассационной инстанции возобновить производство по делу об административном правонарушении и отменить вступившие в законную силу судебные акты в связи с истечением срока давности привлечения к административной ответственности, а потому не соответствуют статьям 18, 21, 22, 23 (часть 1), 46 (части 1 и 2), 49, 52 и 126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