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«Крымморгидрострой» на нарушение его конституционных прав частью 5 статьи 3 Закона города Севастополя «Об особенностях регулирования имущественных и земельных отношений на территории города Севастополя», пунктом 5 части 1 статьи 2 Закона города Севастополя «О земельном налоге», а также отдельными положениями ряда постановлений Правительства Севастополя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«Крымморгидрострой»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«Крымморгидрострой» оспаривает конституционность следующих законоположений: части 5 статьи 3 Закона города Севастополя от 25 июля 2014 года № 46- ЗС «Об особенностях регулирования имущественных и земельных отношений на территории города Севастополя», предусматривающей, что условия и порядок переоформления прав на земельные участки, упомянутые в данной 2 статье, устанавливаются нормативным правовым актом Правительства Севастополя; пункта 5 части 1 статьи 2 Закона города Севастополя от 26 ноября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Частично удовлетворяя требования заявителя и устанавливая годовую ставку арендной платы в размере 2,4%, суды исходили из того, что к отношениям сторон подлежит приоритетному применению законодательство 4 города Севастополя, и именно в этом АО «Крымморгидрострой» усматривает нарушение своих конституционных прав. Между тем, как ранее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«Крымморгидрострой»,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