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580813-П/2021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5 Федерального конституционного закона «О судебной системе Российской Федерации», статьей 10 Закона Российской Федерации «О статусе судей в Российской Федерации» и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по требованию гражданина Э.А.Гусейнова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заместителя председателя кассационного суда общей юрисдикции гражданину Э.А.Гусейнову разъяснено, что никто, в том числе председатель этого суда и его заместители, не вправе вмешиваться в процессуальную деятельность судьи и влиять на принятие того или иного решения. Письмом заместителя Председателя Верховного Суда Российской Федерации заявитель уведомлен о том, что постановление судьи этого суда соответствует требованиям закона и оснований для его отмены и передачи кассационной жалобы на апелляционное постановление краевого суда для 2 рассмотрения в судебном заседании суда кассационной инстанции не имеется. В этой связи Э.А.Гусейнов оспаривает соответствие статьям 46 (части 1 и 2) и 47 (часть 1) Конституции Российской Федерации статьи 5 «Самостоятельность судов и независимость судей» Федерального конституционного закона от 31 декабря 1996 года № 1-ФКЗ «О судебной системе Российской Федерации» и статьи 10 «Недопустимость вмешательства в деятельность судьи» Закона Российской Федерации от 26 июня 1992 года № 3132-I «О статусе судей в Российской Федерации». По мнению заявителя, данные нормы исключают контроль со стороны председателя кассационного суда общей юрисдикции и его заместителя в отношении деятельности судей этого суда, которыми не соблюдается процессуальное законодательство, чем нарушаются его конституционные права. Также Э.А.Гусейнов утверждает, что статьям 46 (части 1 и 2), 47 (часть 1), 49 (часть 1), 52 и 55 (часть 2) Конституции Российской Федерации не соответствуют следующие положения Уголовно-процессуального кодекса Российской Федерации: часть третья статьи 3892 «Судебные решения, подлежащие апелляционному обжалованию», пункт 4 части первой статьи 38920 «Решения, принимаемые судом апелляционной инстанции» и часть вторая статьи 38922 «Отмена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прокурору», поскольку они, допуская отмену определения суда о возвращении уголовного дела прокурору, предполагают направление этого дела на новое судебное рассмотрение в тот же суд, но в ином составе судей, в результате чего исключается судебная защита неизменности состава суда; пункт 5 части первой статьи 4015 «Возвращение кассационных жалобы, представления без рассмотрения», как исключающий судебную защиту прав обвиняемых и потерпевших в рамках уголовного судопроизводства.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5 «Самостоятельность судов и независимость судей» Федерального конституционного закона «О судебной системе Российской Федерации» и статья 10 Закона Российской Федерации «О статусе судей в Российской Федерации», закрепляющие конституционный принцип независимости судей и запрещающие любое вмешательство в деятельность судей по осуществлению правосудия, воспроизводят положения статьи 120 (часть 1) Конституции Российской Федерации и, будучи направленными на формирование основ организации и функционирования судебной власти в соответствии с данными положениями, не могут расцениваться как нарушающие конституционные права заявителя в указанном в жалобе аспекте. Часть третья статьи 3892 и пункт 4 части первой статьи 38920 УПК Российской Федерации устанавливают виды решений, подлежащих апелляционному обжалованию до вынесения итогового судебного решения, и один из видов решений, принимаемых в результате рассмотрения уголовного дела в апелляционном порядке, и не регламентируют последствия отмены решения суда первой инстанции, а потому не могут расцениваться в качестве нарушающих права заявителя в указанном в жалобе смысле. Что же касается части второй статьи 38922 УПК Российской Федерации, то доводы Э.А.Гусейнова свидетельствуют о том, что, формально ставя вопрос о проверке конституционности этой нормы, он, по существу, предлагает Конституционному Суду Российской Федерации оценить не ее содержание, а правомерность вынесенных по его делу правоприменительных решений, что, однако, предполагает исследование обстоятельств конкретного дела и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4 Определением от 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