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783334-О/2024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«Альфа Строй» на нарушение его конституционных прав положениями федеральных законов «Об охране окружающей среды» и «О животном мире»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«Альфа Строй»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«Альфа Строй» оспаривает конституционность абзаца второго статьи 1 «Основные понятия», пунктов 1 и 7 статьи 2 «Законодательство в области охраны окружающей среды» и статьи 3 «Основные принципы охраны окружающей среды» Федерального закона от 10 января 2002 года № 7-ФЗ «Об охране окружающей среды», а также главы III «Охрана объектов животного мира и среды их обитания» Федерального закона от 24 апреля 1995 года № 52-ФЗ «О животном мире». 2 Как следует из представленных материалов, апелляционным определением апелляционного суда общей юрисдикции, с которым согласились суды вышестоящих инстанций, отказано в удовлетворении требований заявителя о признании недействующим пункта 1.6 Требований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 на территории Краснодарского края (далее – Требования; приложение к постановлению главы администрации (губернатора) Краснодарского края от 23 августа 2016 года № 642), предусматривающего, в частности, что не допускается осуществление хозяйственной и иной деятельности, оказывающей воздействие на объекты животного мира и среду их обитания (за исключением мероприятий по охране, защите и воспроизводству лесов), без планирования и реализации мероприятий по охране объектов животного мира и среды их обитания, согласованных с органом исполнительной власти Краснодарского края, уполномоченным в области охраны и использования животного мира, сохранения и восстановления среды его обитания. Суды пришли к выводу, что оспариваемое положение соответствует законодательству в области охраны окружающей среды, и указали, что используемое в Требованиях понятие мероприятий по охране объектов животного мира и среды их обитания не может быть истолковано как дающее основание для возложения на их участников обязанности согласования проектной документации; согласование мероприятий осуществляется не в целях строительства, реконструкции объекта капитального строительства, ввода такого объекта в эксплуатацию, а также государственной регистрации прав на него, а в целях охраны объектов животного мира и среды их обитания. По мнению заявителя, оспариваемые законоположения не соответствуют статьям 1, 5 (часть 3), 6 (часть 2), 11 (часть 3), 15 (часть 2), 17 (часть 3), 19 (части 1 и 2), 45, 46 (части 1 и 2) и 80 (часть 3) Конституции Российской Федерации в той мере, в какой они позволяют субъектам Российской Федерации принимать нормативные правовые акты по вопросам градостроительной деятельности, противоречащие Градостроительному 3 кодексу Российской Федерации, в том числе за пределами их полномочий, закрепленных статьями 7 и 8 данного Кодекса, и вводить не предусмотренные федеральным законодательством и вопреки поручению Президента Российской Федерации дополнительные согласования и тем самым вмешиваться в компетенцию технического заказчика, изыскательских и проектных организаций по вопросам выполнения инженерных изысканий, проектных работ, составлению заданий на инженерные изыскания и проектные работы, а также вмешиваться в вопросы, находящиеся в исключительной компетенции организаций, наделенных правом проводить экспертизу результатов инженерных изысканий и проектной документации.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«Альфа Строй»,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