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766298-О/2024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 на нарушение его конституционных прав пунктом 1 статьи 52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Ч. оспаривает конституционность пункта 1 статьи 52 Семейного кодекса Российской Федерации, предусматривающего, в частности, что запись родителей в книге записей рождений, произведенная в соответствии с пунктами 1 и 2 статьи 51 данного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 Как следует из представленных материалов, решением суда общей юрисдикции, оставленным без изменения определением суда апелляционной инстанции, среди прочего, Ч. отказано в установлении его отцовства в 2 отношении несовершеннолетних детей, проживающих с матерью и гражданином С. – ее супругом, указанным на основании совместного заявления с матерью в записях актов о рождении детей в качестве отца. Суд первой инстанции сослался на отсутствие доказательств участия заявителя в воспитании детей, его общения с ними и оказания им материальной помощи, эмоциональной привязанности детей к заявителю, а также указал, что при вынесении решения учитывает длительные семейные отношения, сложившиеся между детьми и С., устойчивую эмоциональную привязанность детей к С. как к отцу и его намерение продолжать воспитывать детей и заботиться о них. Кроме того, отметив, что установление отцовства Ч. противоречит интересам детей, суд подчеркнул, что сама по себе неявка ответчиков для участия в молекулярно-генетической экспертизе не может выступить безусловным основанием для вывода об отцовстве заявителя.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пункт 1 статьи 52 Семейного кодекса Российской Федерации противоречит статьям 19, 45, 46 и 55 Конституции Российской Федерации ввиду неопределенности в вопросе о защите его прав при установлении отцовства. Ч. указывает, что он не относится к лицам, имеющим право оспорить запись об отце, поскольку в момент предъявления иска он был предполагаемым отцом ребенка, и что суд не исследовал все доказательства и не принял во внимание уклонение другой стороны спора от проведения генетической экспертизы.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 поскольку она не отвечает требованиям Федерального конституционного закона «О Конституционном Суде Российской Федерации», в соответствии с 5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