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546778-П/2021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«Формат-ИТ» на нарушение его конституционных прав пунктом 1 статьи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«Формат-ИТ»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«Формат-ИТ» (далее – ООО «Формат-ИТ») оспаривает конституционность пункта 1 статьи 302 ГК Российской Федерации, предусматривающего, что если имущество возмездно приобретено у лица, которое не имело права его отчуждать, о чем приобретатель не знал и не мог знать (добросовестный приобретатель), то собственник вправе истребовать это имущество от приобретателя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воли. 2 Как следует из представленных материалов, из владения ООО «Формат- ИТ» истребовано недвижимое имущество. Суды указали, что спорное имущество выбыло из владения собственника помимо его воли, и отклонили довод о достаточности волеизъявления государственного предприятия для отчуждения имущества одному из лиц, владевших им прежде заявителя. Суды также отметили, что спорный объект недвижимости был отчужден государственным предприятием с нарушением действовавшего в то время законодательства. Кроме того, суды указали, что ООО «Формат-ИТ», не проявив должной осмотрительности при заключении договора купли-продажи, приняло на себя риски, связанные с возможностью истребования спорного имущества. Суд первой инстанции подчеркнул, что довод ответчика о незаконности включения спорного имущества в Перечень имущества, учитываемого как собственность Республики Крым, утвержденный постановлением Государственного Совета Республики Крым от 30 апреля 2014 года № 2085-6/14 «О вопросах управления собственностью Республики Крым», проверен с учетом правовой позиции, выраженной в Постановлении Конституционного Суда Российской Федерации от 7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«Формат-ИТ»,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