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758590-О/2024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Галим Рамили Хамитьяновны на нарушение ее конституционных прав статьей 2804 Уголовного кодекса Российской Федерации, статьей 234, частью седьмой статьи 236 и пунктом 1 части первой статьи 4015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Р.Х.Галим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Р.Х.Галим, обвиняемая в совершении преступления, просит признать не соответствующими статье 47 (часть 1) Конституции Российской Федерации: статью 2804 «Публичные призывы к осуществлению деятельности, направленной против безопасности государства» УК Российской Федерации, как позволяющую не конкретизировать в обвинительном заключении и в принятом по результатам предварительного слушания решении, к совершению какого именно преступления, указанного в 2 примечании к данной статье, призывало лицо, привлекаемое к уголовной ответственности, а также как допускающую проведение предварительного следствия следователем органов федеральной службы безопасности, предварительного слушания – единолично судьей районного суда, а рассмотрение уголовного дела по существу – коллегией из трех судей и как не предусматривающую обязанность суда проверять правильность определения подследственности уголовного дела; статью 234 «Порядок проведения предварительного слушания» УПК Российской Федерации, поскольку она, как полагает Р.Х.Галим, позволят судье проводить предварительное слушание единолично, несмотря на то, что само уголовное дело подлежит рассмотрению коллегией из трех судей; часть седьмую статьи 236 «Виды решений, принимаемых судьей на предварительном слушании» и пункт 1 части первой статьи 4015 «Возвращение кассационных жалобы, представления без рассмотрения» того же Кодекса, которые, по утверждению заявительницы, наделяют суд кассационной инстанции правом возвратить подсудимому без рассмотрения его жалобу на решение о назначении судебного заседания, даже при наличии в нем ошибочного указания на то, что уголовное дело подлежит рассмотрению судьей единолично.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Р.Х.Галим оспаривала в аналогичном аспекте конституционность статьи 2804 УК Российской Федерации в своей предшествующей жалобе, по результатам изучения которой Статья 46 Конституции Российской Федерации не предполагает возможности выбора гражданином по своему усмотрению любых способов и процедур судебной защиты, особенности которых применительно к отдельным видам производства и категориям дел определяются, исходя из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Галим Рамили Хамитьяновны,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