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674124-П/2023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«Регион-Престиж» на нарушение его конституционных прав частями 1 и 2 статьи 1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также положением информационного письма Президиума Высшего Арбитражного Суда Российской Федерации «О некоторых вопросах применения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«Регион-Престиж»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«Регион-Престиж» (далее также – ООО «Регион-Престиж») оспаривает конституционность примененных судами в его конкретном деле в редакции, действовавшей до вступления в силу Федерального закона от 29 декабря 2022 года № 605-ФЗ, частей 1 и 2 статьи 1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результате внесения изменений, в частности, наименование данного Федерального закона после слова «отчуждение» дополнено словами «движимого и»), определяющих предмет регулирования указанного правового акта, в том числе отношения, на которые его действие не распространяется. Как следует из представленных материалов, постановлением суда кассационной инстанции, которым отменены судебные акты судов нижестоящих инстанций, признаны правомерными действия уполномоченного муниципального органа, связанные с отказом в предоставлении заявителю в собственность без проведения торгов земельного участка, арендуемого им в соответствии с видом разрешенного использования «занимаемый временным павильоном» и относящегося к землям, государственная собственность на которые не разграничена. Суд в том числе отметил, что согласно абзацу пятому подпункта 4 пункта 1 информационного письма Президиума Высшего Арбитражного Суда Российской Федерации от 5 ноября 2009 года № 134 «О некоторых вопросах применения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действие указанного Федерального закона не распространяется на отношения по выкупу земельных участков, что не 3 исключает приобретения субъектами малого или среднего предпринимательства земельных участков, находящихся в государственной или муниципальной собственности, в порядке, установленном земельным законодательством и законодательством о приватизации. Определением судьи Верховного Суда Российской Федерации в передаче кассационной жалобы ООО «Регион-Престиж» для рассмотрения в судебном заседании Судебной коллегии по экономическим спорам данного суда отказано. По мнению заявителя, оспариваемые законоположения, применяемые в указанном истолковании, не соответствуют Конституции Российской Федерации, в том числе ее статьям 19 (часть 1) и 36 (части 1 и 2), поскольку они в системе действующего правового регулирования не допускают возможности приобретения субъектами малого и среднего предпринимательства земельных участков без проведения торгов. В жалобе также оспаривается конституционность абзаца пятого подпункта 4 пункта 1 информационного письма Президиума Высшего Арбитражного Суда Российской Федерации от 5 ноября 2009 года № 134, как вводящего ограничительное толкование содержания оспариваемых законоположений.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«Регион-Престиж»,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