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693230-П/2023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Аникиной Елены Борисовны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Е.Б.Аникиной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Е.Б.Аникина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2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периодов работы начиная с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перечисленных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продолжительностью не менее 16 лет 8 месяцев на 1 января 2001 года. По мнению заявительницы, оспариваемая норма, примененная при рассмотрении ее дела судом общей юрисдикции, не соответствует статьям 76 и 115 Конституции Российской Федерации в той мере, в какой она, устанавливая указанное условие зачета в стаж, дающий право на досрочное назначение трудовой (с 1 января 2015 года – страховой) пенсии по старости, лишает права на досрочное пенсионное обеспечение лиц, осуществлявших педагогическую деятельность в должностях и учреждениях, указанных в названном Списке, утвержденном Постановлением Правительства Российской Федерации от 29 октября 2002 года № 781, но не имевших на 1 января 2001 года стажа работы в данных должностях и учреждениях продолжительностью не менее 16 лет 8 месяцев.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3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в частности, если при разрешении конкретного дела, в котором был применен оспариваемый нормативный акт, исчерпаны все другие внутригосударственные средства судебной защиты прав заявителя. При этом согласно пункту 3 статьи 97 названного Федерального конституционного закона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Е.Б.Аникиной представлена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Аникиной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