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659384-П/2022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Анатолия Геннадьевича на нарушение его конституционных прав частью 3 статьи 12.23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А.Г.Пименова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А.Г.Пименов оспаривает конституционность части 3 статьи 12.23 КоАП Российской Федерации, в соответствии с которой нарушение требований к перевозке детей, установленных Правилами дорожного движения, влечет наложение административного штрафа на водителя в размере трех тысяч рублей; на должностных лиц – двадцати пяти тысяч рублей; на юридических лиц – ста тысяч рублей. Как следует из представленных материалов, постановлением уполномоченного должностного лица заявитель признан виновным в совершении правонарушения, выразившегося в перевозке ребенка, не 2 достигшего 7 лет, без специальных детских удерживающих систем (устройств) (часть 3 статьи 12.23 КоАП Российской Федерации); ему назначен административный штраф в размере трех тысяч рублей. Заявитель обжаловал данное постановление в суд, указав, в частности, что ребенок в его транспортном средстве не находился и свидетель – гражданка П., которая могла подтвердить это обстоятельство, не опрошена. Решением судьи Северского городского суда Томской области постановление оставлено без изменения. При этом судья на основе материалов дела (в частности, видеозаписи и фотографии с места совершения правонарушения) установил, что заявителем в автомобиле перевозился малолетний (новорожденный) ребенок, который находился на руках у женщины. Решением судьи Томского областного суда постановление уполномоченного должностного лица и решение судьи Северского городского суда Томской области изменены: исключено указание на то, что возраст ребенка, перевозимого без специальных детских удерживающих систем (устройств), составляет один месяц, т.к. в материалах дела отсутствуют документы, подтверждающие возраст ребенка. Постановлениями судей Восьмого кассационного суда общей юрисдикции и Верховного Суда Российской Федерации постановление уполномоченного должностного лица и судебные акты оставлены без изменения. По мнению заявителя, оспариваемая норма не соответствует статье 19 (часть 1) Конституции Российской Федерации, поскольку позволяет привлекать к административной ответственности за предусмотренное ею административное правонарушение без установления личности и возраста ребенка.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взаимосвязанных положений статей 1 (часть 1), 15 (часть 2), 19 (части 1 и 2), 45 (часть 1), 54 (часть 2), 55 (часть 3), 71 (пункт «а»), 72 (пункт «к» части 1) и 76 (части 1 и 2) Конституции Российской Федерации, как 3 неоднократно отмечал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