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593291-П/2022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«Уралбройлер» на нарушение его конституционных прав статьей 19, пунктом 2 статьи 44, пунктами 1 и 6 статьи 45, подпунктом 2 пункта 1 статьи 109 и статьей 171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акционерного общества «Уралбройлер»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«Уралбройлер» (далее – АО «Уралбройлер») оспаривает конституционность следующих положений Налогового кодекса Российской Федерации: статьи 19, закрепляющей понятие налогоплательщиков, плательщиков сборов и плательщиков страховых взносов; пункта 2 статьи 44, согласно которому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 2 пунктов 1 и 6 статьи 45, устанавливающей общие правила исполнения обязанности по уплате налога, сбора, страховых взносов; подпункта 2 пункта 1 статьи 109, в соответствии с которым отсутствие вины лица в совершении налогового правонарушения является обстоятельством, исключающим привлечение к ответственности за совершение налогового правонарушения; статьи 171, предусматривающей налоговые вычеты по налогу на добавленную стоимость. Как следует из представленных материалов, определением Судебной коллегии по экономическим спорам Верховного Суда Российской Федерации от 25 января 2021 года отменено постановление Арбитражного суда Уральского округа от 13 июля 2020 года в части удовлетворения требований АО «Уралбройлер» и признания недействительным решения налогового органа. Как указал Верховный Суд Российской Федерации, заявитель неправомерно применил налоговые вычеты по налогу на добавленную стоимость по операциям, в которых участвовали юридические лица, обладающие признаками не уплачивающих налоги «технических» организаций. При этом Верховный Суд Российской Федерации поддержал выводы арбитражных судов первой и апелляционной инстанций о том, что движение денежных средств, формально уплаченных налогоплательщиком за приобретение товара и строительно-монтажных работ, но впоследствии возвращенных ему под видом беспроцентного займа от указанных «технических» организаций, имело «круговой» характер. Довод АО «Уралбройлер» о необходимости предъявления налоговых претензий к его контрагентам, а не к нему, был отклонен Верховным Судом Российской Федерации, с указанием на то, что участники данных сделок с учетом имеющихся доказательств по делу причастны к совершению одного правонарушения. По мнению заявителя, оспариваемые законоположения по смыслу, приданному им правоприменительной практикой, позволяют возлагать солидарную налоговую обязанность по исчислению и уплате налога на 3 добавленную стоимость на участников хозяйствующего оборота, не учитывая правосубъектность действующих юридических лиц в качестве самостоятельных налогоплательщиков. В связи с этим, как полагает заявитель, данные нормы не соответствуют статьям 8, 35 и 57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взаимосвязанных положений главы 21 «Налог на добавленную стоимость» Налогового кодекса Российской Федерации следует, что основанием для вычета по налогу на добавленную стоимость, по общему правилу, является совокупность наступивших обстоятельств: приобретение товара (работ, услуг) для использования в облагаемых операциях, отражение их в документах учета у налогоплательщика-покупателя и наличие надлежащим образом оформленного счета-фактуры; соответственно, при добросовестном соблюдении налогоплательщиком предусмотренных налоговым законодательством требований ему не может быть отказано в праве на вычет сумм налога на добавленную стоимость (определения Конституционного Суда Российской Федерации от 21 апреля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«Уралбройлер»,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