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790117-О/2024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Директоренко Валентины Владимировны на нарушение ее конституционных прав пунктом 3 статьи 253 Гражданского кодекса Российской Федерации и абзацем вторым пункта 2 статьи 35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В.В.Директоренко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В.В.Директоренко оспаривает конституционность следующих норм: пункта 3 статьи 253 ГК Российской Федерации, предусматривающего, что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2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 абзаца второго пункта 2 статьи 35 Семейного кодекса Российской Федерации, закрепляющего, что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иска В.В.Директоренко, в котором она, в частности, требовала признать заключенный ее бывшим супругом договор купли-продажи жилого помещения недействительным, применить последствия недействительности сделки и признать за ней долю в праве собственности на жилое помещение. Суд апелляционной инстанции, среди прочего, указал, что заявительница не доказала осведомленности покупателя об отсутствии ее согласия на совершение сделки. В передаче кассационной жалобы В.В.Директоренко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19 (часть 1), 35 (часть 3) и 55 (часть 2) Конституции Российской Федерации, поскольку по смыслу, придаваемому им правоприменительной практикой в системе действующего правового регулирования, они применяются при разделе недвижимого имущества супругов, брак которых расторгнут, по истечении значительного 3 промежутка времени после расторжения брака, если право собственности на объект недвижимости было зарегистрировано за супругом, совершившим оспариваемую сделку, после расторжения брака.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пункта 3 статьи 253 ГК Российской Федерации, допускающее признание указанной в нем сделки недействительной только в случае, если доказано, что другая сторона в сделке знала или заведомо должна была знать об этом, развивает неоднократно упомянутый в решениях Конституционного Суда Российской Федерации принцип защиты добросовестных участников гражданского оборота, проявляющих при совершении сделки добрую волю, разумную осмотрительность и осторожность (постановления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Директоренко Валентины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